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Belege einreichen und abgleichen</w:t>
      </w:r>
    </w:p>
    <w:p>
      <w:r>
        <w:t>Naturschutzverein | Für Mitglieder mit Auslagen sowie Vorstand und Kasse</w:t>
      </w:r>
    </w:p>
    <w:p>
      <w:r>
        <w:t>Seite 1 dokumentiert eine tatsächliche Auslage. Die Kasse prüft Auftrag, Beleg und Zahlungsstatus. Erst die zuständige Freigabe entscheidet über eine Erstattung. Eigene Organisationsvorlage, keine Buchungsanweisung.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Auslage zur Prüfung einreichen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72"/>
        <w:gridCol w:w="6066"/>
      </w:tblGrid>
      <w:tr>
        <w:trPr>
          <w:cantSplit/>
          <w:tblHeader/>
        </w:trPr>
        <w:tc>
          <w:tcPr>
            <w:tcW w:type="dxa" w:w="3572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Angabe</w:t>
            </w:r>
          </w:p>
        </w:tc>
        <w:tc>
          <w:tcPr>
            <w:tcW w:type="dxa" w:w="6066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</w:t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und Vorgangsnummer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Einreichende Person und Kontakt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Anlass und Vereinsauftrag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Belegdatum und Aussteller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Leistung und Gesamtbetrag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Vereinsanteil und Abgrenzung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Belegverweis und Zahlungsnachweis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Zahlungsweg und bereits erstattet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Aktion und interne Projektkennung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Mittelquelle und konkrete Bindung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Kostenart und Bewilligungszeitraum soweit einschlägig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Prüfung durch zuständige Person</w:t>
      </w:r>
    </w:p>
    <w:p>
      <w:r>
        <w:t>Auftrag geklärt: ______ Beleg zugeordnet: ______ Doppelerstattung geprüft: ______Offener Punkt und nächster Schritt: __________________________________Freigabe oder Rückfrage durch / Datum: ________________________________</w:t>
        <w:br/>
        <w:t/>
        <w:br/>
        <w:t/>
      </w:r>
    </w:p>
    <w:p>
      <w:r>
        <w:t>Bankdaten nur im geschützten Erstattungsweg übermitteln. Keine Passwörter eintragen. Fehlende Belege beim Aussteller nachfordern; keine Belege oder Daten erfinden.</w:t>
      </w:r>
    </w:p>
    <w:p>
      <w:pPr>
        <w:pStyle w:val="Heading1"/>
        <w:pageBreakBefore/>
      </w:pPr>
      <w:r>
        <w:t>Regelmäßigen Abgleich festhalten</w:t>
      </w:r>
    </w:p>
    <w:p>
      <w:r>
        <w:t>Zeitraum: __________________ Konto oder Kasse: __________________Abgleich durch / Datum: ____________________________________________</w:t>
        <w:br/>
        <w:t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535"/>
        <w:gridCol w:w="5102"/>
      </w:tblGrid>
      <w:tr>
        <w:trPr>
          <w:cantSplit/>
          <w:tblHeader/>
        </w:trPr>
        <w:tc>
          <w:tcPr>
            <w:tcW w:type="dxa" w:w="453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Kontrollpunkt</w:t>
            </w:r>
          </w:p>
        </w:tc>
        <w:tc>
          <w:tcPr>
            <w:tcW w:type="dxa" w:w="5102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Feststellung oder Verweis</w:t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Anfangsbestand laut Unterlagen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Einzeln belegte Einnahmen und Ausgaben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Endbestand laut Konto oder Kasse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Bargeld gezählt am und Zählbestand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Interne Umbuchungen abgeglichen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Belege und Zahlungen zugeordnet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Vorgänge und Bindungen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dieser Branche besonders prüfen</w:t>
      </w:r>
    </w:p>
    <w:p>
      <w:r>
        <w:t>Zuschuss, zweckgebundene Zuwendung und freie Vereinsmittel getrennt verfolgen. Ungeklärte Förderfähigkeit ausdrücklich offen lassen.</w:t>
      </w:r>
    </w:p>
    <w:p>
      <w:r>
        <w:t>Sensible Fundorte und personenbezogene Helferdaten nicht in allgemein zugängliche Belegübersichten aufnehmen; eine interne Kennung genügt häufig zur Zuordnung.</w:t>
      </w:r>
    </w:p>
    <w:p>
      <w:r>
        <w:t>Restmittel anhand der konkreten Zusage prüfen und erforderliche Rückfragen oder Rückzahlungen dokumentieren.</w:t>
      </w:r>
    </w:p>
    <w:p>
      <w:pPr>
        <w:pStyle w:val="Heading2"/>
      </w:pPr>
      <w:r>
        <w:t>Offene Fälle weiterverfolgen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2835"/>
        <w:gridCol w:w="2835"/>
      </w:tblGrid>
      <w:tr>
        <w:trPr>
          <w:cantSplit/>
          <w:tblHeader/>
        </w:trPr>
        <w:tc>
          <w:tcPr>
            <w:tcW w:type="dxa" w:w="39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Vorgang und Abweichung</w:t>
            </w:r>
          </w:p>
        </w:tc>
        <w:tc>
          <w:tcPr>
            <w:tcW w:type="dxa" w:w="283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Zuständig und Termin</w:t>
            </w:r>
          </w:p>
        </w:tc>
        <w:tc>
          <w:tcPr>
            <w:tcW w:type="dxa" w:w="283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Klärung am und Ergebnis</w:t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Eine rechnerische Übereinstimmung beweist keine vollständige Buchführung. Rhythmus nach Vorgängen und Risiko festlegen. Dieser Bogen ersetzt keine vorgeschriebenen Aufzeichnungen. Originaldateien und nachvollziehbare Korrekturen erhalten.</w:t>
      </w:r>
    </w:p>
    <w:p>
      <w:pPr>
        <w:spacing w:before="80"/>
      </w:pPr>
      <w:r>
        <w:rPr>
          <w:sz w:val="16"/>
        </w:rPr>
        <w:t xml:space="preserve">Stand: Oktober 2026. </w:t>
      </w:r>
      <w:hyperlink r:id="rId10">
        <w:r>
          <w:rPr>
            <w:sz w:val="16"/>
          </w:rPr>
          <w:t xml:space="preserve"/>
        </w:r>
      </w:hyperlink>
      <w:hyperlink r:id="rId11">
        <w:r>
          <w:rPr>
            <w:sz w:val="16"/>
          </w:rPr>
          <w:t xml:space="preserve"/>
        </w:r>
      </w:hyperlink>
      <w:hyperlink r:id="rId12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NAT-030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bgb/__259.html" TargetMode="External"/><Relationship Id="rId11" Type="http://schemas.openxmlformats.org/officeDocument/2006/relationships/hyperlink" Target="https://www.gesetze-im-internet.de/ao_1977/__63.html" TargetMode="External"/><Relationship Id="rId12" Type="http://schemas.openxmlformats.org/officeDocument/2006/relationships/hyperlink" Target="https://frag-amu.de/buchhaltung-fuer-vere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