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Einarbeitung im Naturschutzverein</w:t>
      </w:r>
    </w:p>
    <w:p>
      <w:pPr>
        <w:pStyle w:val="Subtitle"/>
      </w:pPr>
      <w:r>
        <w:t>Arbeitsmappe für die ersten 30 Tage</w:t>
      </w:r>
    </w:p>
    <w:p>
      <w:r>
        <w:t>Übernehmen Sie Flächen und Projekte zusammen mit Rechten, Absprachen und fachlichen Methoden. Eine Karte oder Fundliste allein erklärt noch nicht, welche Arbeiten zulässig und welche Angaben vertraulich sind. Neue Verantwortliche sollten einen bestehenden Vorgang begleitet nachvollziehen, bevor sie eine Maßnahme oder öffentliche Aussage übernehmen.</w:t>
      </w:r>
    </w:p>
    <w:p>
      <w:r>
        <w:t>Die Mappe eignet sich für Vorstand, Projekt- und Flächenverantwortliche sowie Mitglieder mit Organisationsaufgaben. Sie setzt keine bestimmte Verbandsmitgliedschaft voraus. Naturschutzrecht, Betretung, Eigentum und Genehmigungen werden für den konkreten Ort geprüft.</w:t>
      </w:r>
    </w:p>
    <w:p>
      <w:pPr>
        <w:spacing w:after="100"/>
        <w:keepNext/>
      </w:pPr>
      <w:r>
        <w:rPr>
          <w:b/>
          <w:color w:val="000000"/>
        </w:rPr>
        <w:t>So verwenden Sie die Vorlage</w:t>
      </w:r>
    </w:p>
    <w:p>
      <w:pPr>
        <w:spacing w:after="100"/>
      </w:pPr>
      <w:r>
        <w:rPr>
          <w:color w:val="000000"/>
        </w:rPr>
        <w:t>Speichern Sie zuerst eine eigene Kopie in Word oder einem kompatiblen Textprogramm. Füllen Sie nur die für Ihren Vorgang passenden Felder aus. Ungeklärte Angaben bleiben offen; notieren Sie die Rückfrage und die zuständige Person.</w:t>
      </w:r>
    </w:p>
    <w:p>
      <w:pPr>
        <w:spacing w:after="100"/>
      </w:pPr>
      <w:r>
        <w:rPr>
          <w:color w:val="000000"/>
        </w:rPr>
        <w:t>Ergänzen Sie bei Bedarf passende Zeilen oder Felder. Speichern Sie Änderungen in Ihrer eigenen Datei. Für die Weitergabe können Sie zusätzlich ein PDF erzeugen; die Word-Datei bleibt Ihre bearbeitbare Fassung.</w:t>
      </w:r>
    </w:p>
    <w:p>
      <w:pPr>
        <w:pStyle w:val="Heading1"/>
      </w:pPr>
      <w:r>
        <w:t>Aufgabe und Ansprechpartner klären</w:t>
      </w:r>
    </w:p>
    <w:p>
      <w:pPr>
        <w:pStyle w:val="ListBullet"/>
      </w:pPr>
      <w:r>
        <w:t>Vorstand: Vereinsauftrag, Projektentscheidungen und verbindliche Vertretung klären.</w:t>
      </w:r>
    </w:p>
    <w:p>
      <w:pPr>
        <w:pStyle w:val="ListBullet"/>
      </w:pPr>
      <w:r>
        <w:t>Fach- oder Flächenverantwortliche: Arten, Methoden, Maßnahmenstand und Grenzen der eigenen Kenntnisse erläutern.</w:t>
      </w:r>
    </w:p>
    <w:p>
      <w:pPr>
        <w:pStyle w:val="ListBullet"/>
      </w:pPr>
      <w:r>
        <w:t>Eigentümer, Nutzungsberechtigte und zuständige Stellen: bestehende Vereinbarungen und Abstimmungen nach Projekt zuordnen.</w:t>
      </w:r>
    </w:p>
    <w:p>
      <w:pPr>
        <w:pStyle w:val="ListBullet"/>
      </w:pPr>
      <w:r>
        <w:t>Kindergruppen- und Schutzverantwortliche: Betreuung, Ansprechwege und erforderliche Einweisung gesondert übergeben.</w:t>
      </w:r>
    </w:p>
    <w:p>
      <w:r>
        <w:t>Notieren Sie Aufgabe, Umfang, Zeitbudget, entscheidende Stelle und erste Ansprechperson. Lassen Sie sich die gültige Satzung, einschlägige Beschlüsse und gegebenenfalls die Beauftragung zeigen. § 26 BGB regelt die Vertretung des Vereins. Eine interne Arbeitsaufgabe allein ist deshalb keine verlässliche Grundlage für eine Unterschrift oder verbindliche Zusage. Bei unklarer Vertretung wird vor einer Zusage nachgefragt.</w:t>
      </w:r>
    </w:p>
    <w:p>
      <w:r>
        <w:t>Verein und übernommene Aufgabe</w:t>
        <w:br/>
        <w:t>________________________________________________________________</w:t>
      </w:r>
    </w:p>
    <w:p>
      <w:r>
        <w:t>Beginn und vereinbarter Zeitumfang</w:t>
        <w:br/>
        <w:t>________________________________________________________________</w:t>
      </w:r>
    </w:p>
    <w:p>
      <w:r>
        <w:t>Begleitperson und Rückfragenkontakt</w:t>
        <w:br/>
        <w:t>________________________________________________________________</w:t>
      </w:r>
    </w:p>
    <w:p>
      <w:pPr>
        <w:pStyle w:val="Heading1"/>
        <w:pageBreakBefore/>
      </w:pPr>
      <w:r>
        <w:t>Fachunterlagen gemeinsam durchgehen</w:t>
      </w:r>
    </w:p>
    <w:p>
      <w:pPr>
        <w:pStyle w:val="Heading2"/>
      </w:pPr>
      <w:r>
        <w:t>Flächenakte</w:t>
      </w:r>
    </w:p>
    <w:p>
      <w:r>
        <w:t>Kartenstand, Eigentümer oder Nutzungsberechtigte, Vereinbarung und Ansprechpartner eintragen. Eine bisherige Pflegeaktion ist noch kein Beleg für ein dauerhaftes Nutzungsrecht.</w:t>
      </w:r>
    </w:p>
    <w:p>
      <w:pPr>
        <w:pStyle w:val="Heading2"/>
      </w:pPr>
      <w:r>
        <w:t>Maßnahmen und Freigaben</w:t>
      </w:r>
    </w:p>
    <w:p>
      <w:r>
        <w:t>Ziel, fachliche Begründung, vorhandene Genehmigung oder Abstimmung und offenen Arbeitsstand dokumentieren. Termine nach den tatsächlichen örtlichen Voraussetzungen planen.</w:t>
      </w:r>
    </w:p>
    <w:p>
      <w:pPr>
        <w:pStyle w:val="Heading2"/>
      </w:pPr>
      <w:r>
        <w:t>Monitoring und Methoden</w:t>
      </w:r>
    </w:p>
    <w:p>
      <w:r>
        <w:t>Artbezug, Erfassungsort, Datum, Methode und Unsicherheit erklären lassen. Historische Beobachtungen und neue Erhebungen nur mit nachvollziehbarer Methodik vergleichen.</w:t>
      </w:r>
    </w:p>
    <w:p>
      <w:pPr>
        <w:pStyle w:val="Heading2"/>
      </w:pPr>
      <w:r>
        <w:t>Sensible Funde</w:t>
      </w:r>
    </w:p>
    <w:p>
      <w:r>
        <w:t>Festhalten, welche Fundorte und personenbezogenen Angaben nur eingeschränkt zugänglich sind. Für Presse oder öffentliche Karten eine gesondert geprüfte Fassung vorbereiten.</w:t>
      </w:r>
    </w:p>
    <w:p>
      <w:pPr>
        <w:pStyle w:val="Heading2"/>
      </w:pPr>
      <w:r>
        <w:t>Projekt und Gruppenarbeit</w:t>
      </w:r>
    </w:p>
    <w:p>
      <w:r>
        <w:t>Förderbescheid, Berichte, Werkzeugzuständigkeit und vereinbarte Betreuung erfassen. Für Kindergruppen auf vorhandene Gruppenleitungs- und Schutzunterlagen verweisen; allgemeine Projektorganisation ersetzt keine Betreuungseinweisung.</w:t>
      </w:r>
    </w:p>
    <w:p>
      <w:pPr>
        <w:pStyle w:val="Heading2"/>
      </w:pPr>
      <w:r>
        <w:t>Ein Beispiel für die Übergabe</w:t>
      </w:r>
    </w:p>
    <w:p>
      <w:r>
        <w:t>Beispiel zur Veranschaulichung: Eine neue Projektverantwortliche möchte eine Beobachtungskarte für einen öffentlichen Bericht verwenden. Die bisherige Karte enthält genaue Fundorte und private Kontaktdaten. Sie legt eine gesonderte Veröffentlichungsversion an und lässt Angaben und fachliche Aussagen prüfen. Die vollständige Arbeitskarte bleibt bei den dafür zuständigen Personen.</w:t>
      </w:r>
    </w:p>
    <w:p>
      <w:pPr>
        <w:pStyle w:val="Heading1"/>
        <w:pageBreakBefore/>
      </w:pPr>
      <w:r>
        <w:t>Den ersten Monat organisieren</w:t>
      </w:r>
    </w:p>
    <w:p>
      <w:r>
        <w:t>Die folgenden Zeitfenster sind ein eigener, anpassbarer Organisationsvorschlag. Sie sind keine gesetzliche Frist. Dringende rechtliche, finanzielle, Versorgungs- oder Sicherheitsfragen werden sofort an die zuständigen Personen gegeben und nicht bis zum Ende des Monats aufgeschoben.</w:t>
      </w:r>
    </w:p>
    <w:p>
      <w:pPr>
        <w:pStyle w:val="Heading2"/>
      </w:pPr>
      <w:r>
        <w:t>Tag 1 bis 3</w:t>
      </w:r>
    </w:p>
    <w:p>
      <w:r>
        <w:t>Mit Vorstand und Fachverantwortlichen nächste Maßnahmen, bekannte Risiken und offene Genehmigungsfragen sammeln.</w:t>
      </w:r>
    </w:p>
    <w:p>
      <w:r>
        <w:t>Ergebnis: Prioritäten und Zuständigkeiten sind sichtbar.</w:t>
      </w:r>
    </w:p>
    <w:p>
      <w:pPr>
        <w:pStyle w:val="Heading2"/>
      </w:pPr>
      <w:r>
        <w:t>Tag 4 bis 7</w:t>
      </w:r>
    </w:p>
    <w:p>
      <w:r>
        <w:t>Eine Fläche begleitet kennenlernen und Karte, Vereinbarung sowie eine Beobachtungsreihe zuordnen.</w:t>
      </w:r>
    </w:p>
    <w:p>
      <w:r>
        <w:t>Ergebnis: Ort, Nutzungsgrundlage und Methode passen zusammen.</w:t>
      </w:r>
    </w:p>
    <w:p>
      <w:pPr>
        <w:pStyle w:val="Heading2"/>
      </w:pPr>
      <w:r>
        <w:t>Tag 8 bis 14</w:t>
      </w:r>
    </w:p>
    <w:p>
      <w:r>
        <w:t>Einen kleinen Dokumentations- oder Organisationsvorgang begleitet übernehmen.</w:t>
      </w:r>
    </w:p>
    <w:p>
      <w:r>
        <w:t>Ergebnis: Arbeitsweg und Datengrenzen sind im Alltag erprobt.</w:t>
      </w:r>
    </w:p>
    <w:p>
      <w:pPr>
        <w:pStyle w:val="Heading2"/>
      </w:pPr>
      <w:r>
        <w:t>Tag 15 bis 30</w:t>
      </w:r>
    </w:p>
    <w:p>
      <w:r>
        <w:t>Mit Fachteam und Vorstand offene Punkte klären und eine nächste Aufgabe festlegen.</w:t>
      </w:r>
    </w:p>
    <w:p>
      <w:r>
        <w:t>Ergebnis: Die Mappe zeigt, was übernommen wurde und wo weitere Einweisung nötig bleibt.</w:t>
      </w:r>
    </w:p>
    <w:p>
      <w:pPr>
        <w:pStyle w:val="Heading2"/>
      </w:pPr>
      <w:r>
        <w:t>Offene Aufgaben festhalten</w:t>
      </w:r>
    </w:p>
    <w:tbl>
      <w:tblPr>
        <w:tblStyle w:val="TableGrid"/>
        <w:tblW w:type="auto" w:w="0"/>
        <w:jc w:val="center"/>
        <w:tblLayout w:type="fixed"/>
        <w:tblLook w:firstColumn="1" w:firstRow="1" w:lastColumn="0" w:lastRow="0" w:noHBand="0" w:noVBand="1" w:val="04A0"/>
      </w:tblPr>
      <w:tblGrid>
        <w:gridCol w:w="4535"/>
        <w:gridCol w:w="2268"/>
        <w:gridCol w:w="2835"/>
      </w:tblGrid>
      <w:tr>
        <w:trPr>
          <w:tblHeader/>
          <w:cantSplit/>
        </w:trPr>
        <w:tc>
          <w:tcPr>
            <w:tcW w:type="dxa" w:w="4535"/>
            <w:shd w:fill="E7E6E6"/>
          </w:tcPr>
          <w:p>
            <w:pPr>
              <w:spacing w:after="60" w:before="60"/>
            </w:pPr>
            <w:r>
              <w:rPr>
                <w:b/>
                <w:sz w:val="18"/>
              </w:rPr>
              <w:t>Aufgabe und nächster Schritt</w:t>
            </w:r>
          </w:p>
        </w:tc>
        <w:tc>
          <w:tcPr>
            <w:tcW w:type="dxa" w:w="2268"/>
            <w:shd w:fill="E7E6E6"/>
          </w:tcPr>
          <w:p>
            <w:pPr>
              <w:spacing w:after="60" w:before="60"/>
            </w:pPr>
            <w:r>
              <w:rPr>
                <w:b/>
                <w:sz w:val="18"/>
              </w:rPr>
              <w:t>Verantwortlich</w:t>
            </w:r>
          </w:p>
        </w:tc>
        <w:tc>
          <w:tcPr>
            <w:tcW w:type="dxa" w:w="2835"/>
            <w:shd w:fill="E7E6E6"/>
          </w:tcPr>
          <w:p>
            <w:pPr>
              <w:spacing w:after="60" w:before="60"/>
            </w:pPr>
            <w:r>
              <w:rPr>
                <w:b/>
                <w:sz w:val="18"/>
              </w:rPr>
              <w:t>Termin und Status</w:t>
            </w:r>
          </w:p>
        </w:tc>
      </w:tr>
      <w:tr>
        <w:trPr>
          <w:cantSplit/>
        </w:trPr>
        <w:tc>
          <w:tcPr>
            <w:tcW w:type="dxa" w:w="4535"/>
          </w:tcPr>
          <w:p>
            <w:pPr>
              <w:spacing w:after="60" w:before="60"/>
            </w:pPr>
            <w:r>
              <w:rPr>
                <w:sz w:val="18"/>
              </w:rPr>
              <w:br/>
            </w:r>
          </w:p>
        </w:tc>
        <w:tc>
          <w:tcPr>
            <w:tcW w:type="dxa" w:w="2268"/>
          </w:tcPr>
          <w:p>
            <w:pPr>
              <w:spacing w:after="60" w:before="60"/>
            </w:pPr>
            <w:r>
              <w:rPr>
                <w:sz w:val="18"/>
              </w:rPr>
              <w:br/>
            </w:r>
          </w:p>
        </w:tc>
        <w:tc>
          <w:tcPr>
            <w:tcW w:type="dxa" w:w="2835"/>
          </w:tcPr>
          <w:p>
            <w:pPr>
              <w:spacing w:after="60" w:before="60"/>
            </w:pPr>
            <w:r>
              <w:rPr>
                <w:sz w:val="18"/>
              </w:rPr>
              <w:br/>
            </w:r>
          </w:p>
        </w:tc>
      </w:tr>
      <w:tr>
        <w:trPr>
          <w:cantSplit/>
        </w:trPr>
        <w:tc>
          <w:tcPr>
            <w:tcW w:type="dxa" w:w="4535"/>
          </w:tcPr>
          <w:p>
            <w:pPr>
              <w:spacing w:after="60" w:before="60"/>
            </w:pPr>
            <w:r>
              <w:rPr>
                <w:sz w:val="18"/>
              </w:rPr>
              <w:br/>
            </w:r>
          </w:p>
        </w:tc>
        <w:tc>
          <w:tcPr>
            <w:tcW w:type="dxa" w:w="2268"/>
          </w:tcPr>
          <w:p>
            <w:pPr>
              <w:spacing w:after="60" w:before="60"/>
            </w:pPr>
            <w:r>
              <w:rPr>
                <w:sz w:val="18"/>
              </w:rPr>
              <w:br/>
            </w:r>
          </w:p>
        </w:tc>
        <w:tc>
          <w:tcPr>
            <w:tcW w:type="dxa" w:w="2835"/>
          </w:tcPr>
          <w:p>
            <w:pPr>
              <w:spacing w:after="60" w:before="60"/>
            </w:pPr>
            <w:r>
              <w:rPr>
                <w:sz w:val="18"/>
              </w:rPr>
              <w:br/>
            </w:r>
          </w:p>
        </w:tc>
      </w:tr>
      <w:tr>
        <w:trPr>
          <w:cantSplit/>
        </w:trPr>
        <w:tc>
          <w:tcPr>
            <w:tcW w:type="dxa" w:w="4535"/>
          </w:tcPr>
          <w:p>
            <w:pPr>
              <w:spacing w:after="60" w:before="60"/>
            </w:pPr>
            <w:r>
              <w:rPr>
                <w:sz w:val="18"/>
              </w:rPr>
              <w:br/>
            </w:r>
          </w:p>
        </w:tc>
        <w:tc>
          <w:tcPr>
            <w:tcW w:type="dxa" w:w="2268"/>
          </w:tcPr>
          <w:p>
            <w:pPr>
              <w:spacing w:after="60" w:before="60"/>
            </w:pPr>
            <w:r>
              <w:rPr>
                <w:sz w:val="18"/>
              </w:rPr>
              <w:br/>
            </w:r>
          </w:p>
        </w:tc>
        <w:tc>
          <w:tcPr>
            <w:tcW w:type="dxa" w:w="2835"/>
          </w:tcPr>
          <w:p>
            <w:pPr>
              <w:spacing w:after="60" w:before="60"/>
            </w:pPr>
            <w:r>
              <w:rPr>
                <w:sz w:val="18"/>
              </w:rPr>
              <w:br/>
            </w:r>
          </w:p>
        </w:tc>
      </w:tr>
    </w:tbl>
    <w:p>
      <w:r>
        <w:t>Nicht zutreffende Punkte begründen. Kritische Fragen unmittelbar weitergeben. Eine Aufgabe erst nach nachvollziehbarer Kontrolle als geprüft markieren.</w:t>
      </w:r>
    </w:p>
    <w:p>
      <w:pPr>
        <w:pStyle w:val="Heading1"/>
        <w:pageBreakBefore/>
      </w:pPr>
      <w:r>
        <w:t>Übergabe und nächsten Prüftermin festhalten</w:t>
      </w:r>
    </w:p>
    <w:p>
      <w:r>
        <w:t>In diese Mappe gehören Systemname, zuständige Person, Berechtigungsstand und der Verweis auf einen geschützten Ablageort. Tragen Sie keine Passwörter, Zugangstokens, TAN, Bankzugangsdaten oder vertraulichen Falldetails ein. Prüfen Sie erforderliche Rechte und Vertretungen am tatsächlichen System. Sensible Fachakten bleiben in ihrer dafür vorgesehenen Ablage.</w:t>
      </w:r>
    </w:p>
    <w:tbl>
      <w:tblPr>
        <w:tblStyle w:val="TableGrid"/>
        <w:tblW w:type="auto" w:w="0"/>
        <w:jc w:val="center"/>
        <w:tblLayout w:type="fixed"/>
        <w:tblLook w:firstColumn="1" w:firstRow="1" w:lastColumn="0" w:lastRow="0" w:noHBand="0" w:noVBand="1" w:val="04A0"/>
      </w:tblPr>
      <w:tblGrid>
        <w:gridCol w:w="2835"/>
        <w:gridCol w:w="3402"/>
        <w:gridCol w:w="3402"/>
      </w:tblGrid>
      <w:tr>
        <w:trPr>
          <w:tblHeader/>
          <w:cantSplit/>
        </w:trPr>
        <w:tc>
          <w:tcPr>
            <w:tcW w:type="dxa" w:w="2835"/>
            <w:shd w:fill="E7E6E6"/>
          </w:tcPr>
          <w:p>
            <w:pPr>
              <w:spacing w:after="60" w:before="60"/>
            </w:pPr>
            <w:r>
              <w:rPr>
                <w:b/>
                <w:sz w:val="18"/>
              </w:rPr>
              <w:t>Bereich oder Unterlage</w:t>
            </w:r>
          </w:p>
        </w:tc>
        <w:tc>
          <w:tcPr>
            <w:tcW w:type="dxa" w:w="3402"/>
            <w:shd w:fill="E7E6E6"/>
          </w:tcPr>
          <w:p>
            <w:pPr>
              <w:spacing w:after="60" w:before="60"/>
            </w:pPr>
            <w:r>
              <w:rPr>
                <w:b/>
                <w:sz w:val="18"/>
              </w:rPr>
              <w:t>Fundort und berechtigte Rolle</w:t>
            </w:r>
          </w:p>
        </w:tc>
        <w:tc>
          <w:tcPr>
            <w:tcW w:type="dxa" w:w="3402"/>
            <w:shd w:fill="E7E6E6"/>
          </w:tcPr>
          <w:p>
            <w:pPr>
              <w:spacing w:after="60" w:before="60"/>
            </w:pPr>
            <w:r>
              <w:rPr>
                <w:b/>
                <w:sz w:val="18"/>
              </w:rPr>
              <w:t>Status und offene Frage</w:t>
            </w:r>
          </w:p>
        </w:tc>
      </w:tr>
      <w:tr>
        <w:trPr>
          <w:cantSplit/>
        </w:trPr>
        <w:tc>
          <w:tcPr>
            <w:tcW w:type="dxa" w:w="2835"/>
          </w:tcPr>
          <w:p>
            <w:pPr>
              <w:spacing w:after="60" w:before="60"/>
            </w:pPr>
            <w:r>
              <w:rPr>
                <w:sz w:val="18"/>
              </w:rPr>
              <w:t>Flächenakte</w:t>
            </w:r>
          </w:p>
        </w:tc>
        <w:tc>
          <w:tcPr>
            <w:tcW w:type="dxa" w:w="3402"/>
          </w:tcPr>
          <w:p>
            <w:pPr>
              <w:spacing w:after="60" w:before="60"/>
            </w:pPr>
            <w:r>
              <w:rPr>
                <w:sz w:val="18"/>
              </w:rPr>
              <w:br/>
            </w:r>
          </w:p>
        </w:tc>
        <w:tc>
          <w:tcPr>
            <w:tcW w:type="dxa" w:w="3402"/>
          </w:tcPr>
          <w:p>
            <w:pPr>
              <w:spacing w:after="60" w:before="60"/>
            </w:pPr>
            <w:r>
              <w:rPr>
                <w:sz w:val="18"/>
              </w:rPr>
              <w:br/>
            </w:r>
          </w:p>
        </w:tc>
      </w:tr>
      <w:tr>
        <w:trPr>
          <w:cantSplit/>
        </w:trPr>
        <w:tc>
          <w:tcPr>
            <w:tcW w:type="dxa" w:w="2835"/>
          </w:tcPr>
          <w:p>
            <w:pPr>
              <w:spacing w:after="60" w:before="60"/>
            </w:pPr>
            <w:r>
              <w:rPr>
                <w:sz w:val="18"/>
              </w:rPr>
              <w:t>Maßnahmen und Freigaben</w:t>
            </w:r>
          </w:p>
        </w:tc>
        <w:tc>
          <w:tcPr>
            <w:tcW w:type="dxa" w:w="3402"/>
          </w:tcPr>
          <w:p>
            <w:pPr>
              <w:spacing w:after="60" w:before="60"/>
            </w:pPr>
            <w:r>
              <w:rPr>
                <w:sz w:val="18"/>
              </w:rPr>
              <w:br/>
            </w:r>
          </w:p>
        </w:tc>
        <w:tc>
          <w:tcPr>
            <w:tcW w:type="dxa" w:w="3402"/>
          </w:tcPr>
          <w:p>
            <w:pPr>
              <w:spacing w:after="60" w:before="60"/>
            </w:pPr>
            <w:r>
              <w:rPr>
                <w:sz w:val="18"/>
              </w:rPr>
              <w:br/>
            </w:r>
          </w:p>
        </w:tc>
      </w:tr>
      <w:tr>
        <w:trPr>
          <w:cantSplit/>
        </w:trPr>
        <w:tc>
          <w:tcPr>
            <w:tcW w:type="dxa" w:w="2835"/>
          </w:tcPr>
          <w:p>
            <w:pPr>
              <w:spacing w:after="60" w:before="60"/>
            </w:pPr>
            <w:r>
              <w:rPr>
                <w:sz w:val="18"/>
              </w:rPr>
              <w:t>Monitoring und Methoden</w:t>
            </w:r>
          </w:p>
        </w:tc>
        <w:tc>
          <w:tcPr>
            <w:tcW w:type="dxa" w:w="3402"/>
          </w:tcPr>
          <w:p>
            <w:pPr>
              <w:spacing w:after="60" w:before="60"/>
            </w:pPr>
            <w:r>
              <w:rPr>
                <w:sz w:val="18"/>
              </w:rPr>
              <w:br/>
            </w:r>
          </w:p>
        </w:tc>
        <w:tc>
          <w:tcPr>
            <w:tcW w:type="dxa" w:w="3402"/>
          </w:tcPr>
          <w:p>
            <w:pPr>
              <w:spacing w:after="60" w:before="60"/>
            </w:pPr>
            <w:r>
              <w:rPr>
                <w:sz w:val="18"/>
              </w:rPr>
              <w:br/>
            </w:r>
          </w:p>
        </w:tc>
      </w:tr>
      <w:tr>
        <w:trPr>
          <w:cantSplit/>
        </w:trPr>
        <w:tc>
          <w:tcPr>
            <w:tcW w:type="dxa" w:w="2835"/>
          </w:tcPr>
          <w:p>
            <w:pPr>
              <w:spacing w:after="60" w:before="60"/>
            </w:pPr>
            <w:r>
              <w:rPr>
                <w:sz w:val="18"/>
              </w:rPr>
              <w:t>Sensible Funde</w:t>
            </w:r>
          </w:p>
        </w:tc>
        <w:tc>
          <w:tcPr>
            <w:tcW w:type="dxa" w:w="3402"/>
          </w:tcPr>
          <w:p>
            <w:pPr>
              <w:spacing w:after="60" w:before="60"/>
            </w:pPr>
            <w:r>
              <w:rPr>
                <w:sz w:val="18"/>
              </w:rPr>
              <w:br/>
            </w:r>
          </w:p>
        </w:tc>
        <w:tc>
          <w:tcPr>
            <w:tcW w:type="dxa" w:w="3402"/>
          </w:tcPr>
          <w:p>
            <w:pPr>
              <w:spacing w:after="60" w:before="60"/>
            </w:pPr>
            <w:r>
              <w:rPr>
                <w:sz w:val="18"/>
              </w:rPr>
              <w:br/>
            </w:r>
          </w:p>
        </w:tc>
      </w:tr>
      <w:tr>
        <w:trPr>
          <w:cantSplit/>
        </w:trPr>
        <w:tc>
          <w:tcPr>
            <w:tcW w:type="dxa" w:w="2835"/>
          </w:tcPr>
          <w:p>
            <w:pPr>
              <w:spacing w:after="60" w:before="60"/>
            </w:pPr>
            <w:r>
              <w:rPr>
                <w:sz w:val="18"/>
              </w:rPr>
              <w:t>Projekt und Gruppenarbeit</w:t>
            </w:r>
          </w:p>
        </w:tc>
        <w:tc>
          <w:tcPr>
            <w:tcW w:type="dxa" w:w="3402"/>
          </w:tcPr>
          <w:p>
            <w:pPr>
              <w:spacing w:after="60" w:before="60"/>
            </w:pPr>
            <w:r>
              <w:rPr>
                <w:sz w:val="18"/>
              </w:rPr>
              <w:br/>
            </w:r>
          </w:p>
        </w:tc>
        <w:tc>
          <w:tcPr>
            <w:tcW w:type="dxa" w:w="3402"/>
          </w:tcPr>
          <w:p>
            <w:pPr>
              <w:spacing w:after="60" w:before="60"/>
            </w:pPr>
            <w:r>
              <w:rPr>
                <w:sz w:val="18"/>
              </w:rPr>
              <w:br/>
            </w:r>
          </w:p>
        </w:tc>
      </w:tr>
    </w:tbl>
    <w:p>
      <w:r>
        <w:t>Übergeben von und übernommen von</w:t>
        <w:br/>
        <w:t>________________________________________________________________</w:t>
      </w:r>
    </w:p>
    <w:p>
      <w:r>
        <w:t>Datum und nächster gemeinsamer Prüftermin</w:t>
        <w:br/>
        <w:t>________________________________________________________________</w:t>
      </w:r>
    </w:p>
    <w:p>
      <w:r>
        <w:t>Diese Bestätigung hält den dokumentierten Übergabestand fest. Sie bestätigt keine Vollständigkeit unbekannter Bestände, ersetzt keine Fachprüfung und bewirkt keine pauschale Entlastung.</w:t>
      </w:r>
    </w:p>
    <w:p>
      <w:pPr>
        <w:pStyle w:val="Heading2"/>
      </w:pPr>
      <w:r>
        <w:t>Mit einer kleinen Aufgabe beginnen</w:t>
      </w:r>
    </w:p>
    <w:p>
      <w:r>
        <w:t>Beginnen Sie beispielsweise mit einer begleiteten Erfassung oder Einsatzvorbereitung. Lassen Sie Methode, Zuständigkeit und Rückfrageweg erklären und wählen Sie Lernmaterial passend zu Ihrer Aufgabe.</w:t>
      </w:r>
    </w:p>
    <w:p>
      <w:pPr>
        <w:pStyle w:val="Heading2"/>
      </w:pPr>
      <w:r>
        <w:t>Gesetze und öffentliche Stellen</w:t>
      </w:r>
    </w:p>
    <w:p>
      <w:hyperlink r:id="rId9">
        <w:r>
          <w:t>Vorstand und Vertretung nach § 26 BGB</w:t>
        </w:r>
      </w:hyperlink>
    </w:p>
    <w:p>
      <w:r>
        <w:t>Stand: Oktober 2026</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Calibri" w:hAnsi="Calibr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gesetze-im-internet.de/bgb/__26.html" TargetMode="External"/><Relationship Id="rId10" Type="http://schemas.openxmlformats.org/officeDocument/2006/relationships/hyperlink" Target="https://www.nabu-frankfurt.de/wir-%C3%BCber-uns/ehrenamtsangebote/" TargetMode="External"/><Relationship Id="rId11" Type="http://schemas.openxmlformats.org/officeDocument/2006/relationships/hyperlink" Target="https://www.naju.de/mitmachen/starterkit/" TargetMode="External"/><Relationship Id="rId12" Type="http://schemas.openxmlformats.org/officeDocument/2006/relationships/hyperlink" Target="https://www.verbandsbuero.de/checklisten-vorlage/vorstandswechsel-ohne-chaos/" TargetMode="External"/><Relationship Id="rId13" Type="http://schemas.openxmlformats.org/officeDocument/2006/relationships/hyperlink" Target="https://www.verbandsbuero.de/checklisten-vorlage/vereins-notfallmap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Einarbeitung im Naturschutzverein</dc:title>
  <dc:subject>NAT-025 | P03-01 | Fassung 1.0 | 21.10.2026</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