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Projekt Steckbrief für eine konkrete Naturschutzfläche</w:t>
      </w:r>
    </w:p>
    <w:p>
      <w:r>
        <w:t>Der Flächensteckbrief macht ein Vorhaben besprechbar, bevor Material gekauft oder ein Arbeitseinsatz angesetzt wird. Er verbindet naturschutzfachliche Fragen mit der organisatorischen Verantwortung des Vereins.</w:t>
      </w:r>
    </w:p>
    <w:p>
      <w:r>
        <w:t>Flächenkennung, interne Karte und tatsächlichen Zustand festhalten. Eigentümer, Nutzungsrecht und Zugangsbedingungen benennen; Zustimmung nicht aus bisheriger Nutzung ableiten.</w:t>
      </w:r>
    </w:p>
    <w:p>
      <w:r>
        <w:t>Pflegeziel als überprüfbare Absicht beschreiben. Vorherige fachliche Erhebung, mögliche Schutzvorschriften und zuständige Stelle als offene oder belegte Punkte erfassen.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Projekt und Ausgangslage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139"/>
        <w:gridCol w:w="5499"/>
      </w:tblGrid>
      <w:tr>
        <w:trPr>
          <w:cantSplit/>
          <w:tblHeader/>
        </w:trPr>
        <w:tc>
          <w:tcPr>
            <w:tcW w:type="dxa" w:w="413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 dokumentieren</w:t>
            </w:r>
          </w:p>
        </w:tc>
        <w:tc>
          <w:tcPr>
            <w:tcW w:type="dxa" w:w="549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Eigener Eintrag oder Beleg</w:t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Flächen-ID/interne Karte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Ausgangszustand/Belege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Eigentümer/Nutzungsrecht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Ziel/Zielgruppe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Umsetzung und offene Fragen</w:t>
      </w:r>
    </w:p>
    <w:p>
      <w:r>
        <w:t>Ressourcen und Pflege nach dem ersten Einsatz einplanen. Mitglieder wissen, welche Hilfe gesucht wird und welche Tätigkeiten noch nicht beauftragt sind. Der Vorstand beschließt erst auf einer ausreichend geklärten Grundlage.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139"/>
        <w:gridCol w:w="5499"/>
      </w:tblGrid>
      <w:tr>
        <w:trPr>
          <w:cantSplit/>
          <w:tblHeader/>
        </w:trPr>
        <w:tc>
          <w:tcPr>
            <w:tcW w:type="dxa" w:w="413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 dokumentieren</w:t>
            </w:r>
          </w:p>
        </w:tc>
        <w:tc>
          <w:tcPr>
            <w:tcW w:type="dxa" w:w="549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Eigener Eintrag oder Beleg</w:t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Schutz-/Genehmigungsfragen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Fachliche Ansprechperson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Ressourcen/Budget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Folgepflege/Verantwortung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t>Felder mit Beleg/Quelle/Datum ergänzen; offene Punkte mit verantwortlicher Person und Termin. Keine automatisch vorgegebenen Fristen, Mehrheiten oder Freigaben.</w:t>
      </w:r>
    </w:p>
    <w:p>
      <w:pPr>
        <w:pStyle w:val="Heading2"/>
      </w:pPr>
      <w:r>
        <w:t>Stand: Oktober 2026</w:t>
      </w:r>
    </w:p>
    <w:p>
      <w:pPr>
        <w:spacing w:after="40"/>
      </w:pPr>
      <w:hyperlink r:id="rId10">
        <w:r>
          <w:rPr>
            <w:sz w:val="16"/>
          </w:rPr>
          <w:t xml:space="preserve">Gesetz über Naturschutz und Landschaftspflege (Bundesnaturschutzgesetz - BNatSchG) § 39   Allgemeiner Schutz wild lebender Tiere und Pflanzen; Ermächtigung zum Erlass von Rechtsverordnungen</w:t>
        </w:r>
      </w:hyperlink>
    </w:p>
    <w:p>
      <w:pPr>
        <w:spacing w:after="40"/>
      </w:pPr>
      <w:hyperlink r:id="rId11">
        <w:r>
          <w:rPr>
            <w:sz w:val="16"/>
          </w:rPr>
          <w:t xml:space="preserve">Fördermittel-Antrag vorbereiten</w:t>
        </w:r>
      </w:hyperlink>
    </w:p>
    <w:p>
      <w:pPr>
        <w:spacing w:after="40"/>
      </w:pPr>
      <w:r>
        <w:rPr>
          <w:sz w:val="16"/>
        </w:rPr>
        <w:t>Stand: Oktober 2026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NAT-001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bnatschg_2009/__39.html" TargetMode="External"/><Relationship Id="rId11" Type="http://schemas.openxmlformats.org/officeDocument/2006/relationships/hyperlink" Target="https://www.verbandsbuero.de/checklisten-vorlage/fordermittel-antrag-vorbereit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