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Rücklage für ein Vorhaben planen</w:t>
      </w:r>
    </w:p>
    <w:p>
      <w:r>
        <w:t>Naturschutzverein | Biotoppflege mit anschließendem Bildungsangebot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konkret geplantes Vorhaben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Zweck Nutzung und Planungsstand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Betrag und vorhandene Mittel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Mittelquelle und tatsächliche Bindung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Zeitplan und Kostenunterlagen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Geprüfte Rücklagenart und Grundlage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Bei Ersatz vorhandener Gegenstand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Gesonderter Nachweis und 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Frage Zuständigkeit und Termin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Beschluss Prüfung und Planungsänderung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Schutzziel und interne Projektkennung: __________________________________________________</w:t>
      </w:r>
    </w:p>
    <w:p>
      <w:r>
        <w:t>Zuschussbindung und vertrauliche Fachunterlagen: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Rücklagenart, vorhandene Mittel, Planung und gesonderten Nachweis prüfen. Die Ausnahme zur zeitnahen Verwendung nach § 55 Absatz 1 Nummer 5 AO gesondert klären. Keine automatische Berechnung oder Anerkennung einer Rücklage.</w:t>
      </w:r>
    </w:p>
    <w:p>
      <w:r>
        <w:rPr>
          <w:sz w:val="16"/>
        </w:rPr>
        <w:t xml:space="preserve">Quelle und vollständiger Gesetzestext § 62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NAT-GESETZ-RUECKLAGE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