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Nachweise zum Vorhaben ordnen</w:t>
      </w:r>
    </w:p>
    <w:p>
      <w:r>
        <w:t>Naturschutzverein | Biotoppflege mit anschließendem Bildungsangebot</w:t>
      </w:r>
    </w:p>
    <w:p>
      <w:r>
        <w:t>Mitglieder tragen Angaben zum tatsächlichen Vorhaben bei. Vorstand und Kasse prüfen Unterlagen, Zuständigkeit und offene Fragen. Dieser Bogen sammelt die Prüfung; er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Tatsächliche Angaben und Nachweise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25"/>
        <w:gridCol w:w="5613"/>
      </w:tblGrid>
      <w:tr>
        <w:trPr>
          <w:cantSplit/>
          <w:trHeight w:val="408"/>
          <w:tblHeader/>
        </w:trPr>
        <w:tc>
          <w:tcPr>
            <w:tcW w:type="dxa" w:w="402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613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oder Verweis</w:t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Projektkennung und Zeitraum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Satzungsbezug und Beschlussverweis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Tatsächlich durchgeführte Tätigkeit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Einnahmen und Ausgaben Verweis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Belege und Zahlungsnachweise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Mittelbindung oder Empfängernachweis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Fehlende Unterlage und Rückfrage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Zuständig Termin und tatsächliche Klärung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Verein besonders klären</w:t>
      </w:r>
    </w:p>
    <w:p>
      <w:r>
        <w:t>Schutzziel und interne Projektkennung: __________________________________________________</w:t>
      </w:r>
    </w:p>
    <w:p>
      <w:r>
        <w:t>Zuschussbindung und vertrauliche Fachunterlagen: __________________________________________________</w:t>
      </w:r>
    </w:p>
    <w:p>
      <w:r>
        <w:t>Offenen Punkt mit zuständiger Person und Termin festhalten. Eine leere Zeile bedeutet keine erfolgreiche Prüfung. Nachträgliche Klärungen mit tatsächlichem Datum ergänzen.</w:t>
      </w:r>
    </w:p>
    <w:p>
      <w:pPr>
        <w:pStyle w:val="Heading2"/>
      </w:pPr>
      <w:r>
        <w:t>Grundlage und Grenzen</w:t>
      </w:r>
    </w:p>
    <w:p>
      <w:r>
        <w:t>Belege, Zahlungen, Beschlüsse und tatsächliche Tätigkeit miteinander verbinden. Kein Ersatz für vorgeschriebene Aufzeichnungen und keine Berechtigung zur Ausstellung von Zuwendungsbestätigungen.</w:t>
      </w:r>
    </w:p>
    <w:p>
      <w:r>
        <w:rPr>
          <w:sz w:val="16"/>
        </w:rPr>
        <w:t xml:space="preserve">Quelle und vollständiger Gesetzestext § 63 AO · Gesetze im Internet</w:t>
      </w:r>
      <w:hyperlink r:id="rId10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NAT-GESETZ-NACHWEIS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ao_1977/__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