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Mitgliederversammlung im Naturschutzverein vorbereiten beschließen und nachhalten</w:t>
      </w:r>
    </w:p>
    <w:p>
      <w:r>
        <w:t>Die Mitgliederversammlung entscheidet über Vereinsangelegenheiten im Rahmen von Gesetz und Satzung. Für das Pflegeprojekt müssen Antrag, Zuständigkeit und spätere Umsetzung nachvollziehbar getrennt werden.</w:t>
      </w:r>
    </w:p>
    <w:p>
      <w:pPr>
        <w:spacing w:after="100"/>
        <w:keepNext/>
      </w:pPr>
      <w:r>
        <w:rPr>
          <w:b/>
          <w:color w:val="000000"/>
        </w:rPr>
        <w:t>So verwenden Sie die Vorlage</w:t>
      </w:r>
    </w:p>
    <w:p>
      <w:pPr>
        <w:spacing w:after="100"/>
      </w:pPr>
      <w:r>
        <w:rPr>
          <w:color w:val="000000"/>
        </w:rPr>
        <w:t>Speichern Sie zuerst eine eigene Kopie in Word oder einem kompatiblen Textprogramm. Füllen Sie nur die für Ihren Vorgang passenden Felder aus. Ungeklärte Angaben bleiben offen; notieren Sie die Rückfrage und die zuständige Person.</w:t>
      </w:r>
    </w:p>
    <w:p>
      <w:pPr>
        <w:spacing w:after="100"/>
      </w:pPr>
      <w:r>
        <w:rPr>
          <w:color w:val="000000"/>
        </w:rPr>
        <w:t>Ergänzen Sie bei Bedarf passende Zeilen oder Felder. Speichern Sie Änderungen in Ihrer eigenen Datei. Für die Weitergabe können Sie zusätzlich ein PDF erzeugen; die Word-Datei bleibt Ihre bearbeitbare Fassung.</w:t>
      </w:r>
    </w:p>
    <w:p>
      <w:pPr>
        <w:pStyle w:val="Heading1"/>
      </w:pPr>
      <w:r>
        <w:t>Tagesordnung und Einberufung</w:t>
      </w:r>
    </w:p>
    <w:p>
      <w:r>
        <w:t>Konkreter Branchenfall: Pflegeprojekt. Frist/Form aus eigener Satzung übernehmen; kein Versand durch diese Vorlage.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139"/>
        <w:gridCol w:w="5499"/>
      </w:tblGrid>
      <w:tr>
        <w:trPr>
          <w:cantSplit/>
          <w:tblHeader/>
        </w:trPr>
        <w:tc>
          <w:tcPr>
            <w:tcW w:type="dxa" w:w="413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Zu dokumentieren</w:t>
            </w:r>
          </w:p>
        </w:tc>
        <w:tc>
          <w:tcPr>
            <w:tcW w:type="dxa" w:w="549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Eigener Eintrag oder Beleg</w:t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Verein/Termin/Ort/Format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Satzungsfassung/Form/Einladungsfrist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Zuständigkeit der Einberufung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Berichte zu Pflegeprojekt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Beschlussgegenstände mit hinreichender Bezeichnung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Antragsweg und Frist laut eigener Regel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Digitale Ausübung der Rechte falls einschlägig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Unterlagen/Versandnachweis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  <w:pageBreakBefore/>
      </w:pPr>
      <w:r>
        <w:t>Beschlussprotokoll</w:t>
      </w:r>
    </w:p>
    <w:p>
      <w:r>
        <w:t>Wortlaut und tatsächlich festgestelltes Ergebnis erfassen. Keine automatisch angenommene Beschlussfähigkeit oder Entlastung.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139"/>
        <w:gridCol w:w="5499"/>
      </w:tblGrid>
      <w:tr>
        <w:trPr>
          <w:cantSplit/>
          <w:tblHeader/>
        </w:trPr>
        <w:tc>
          <w:tcPr>
            <w:tcW w:type="dxa" w:w="413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Zu dokumentieren</w:t>
            </w:r>
          </w:p>
        </w:tc>
        <w:tc>
          <w:tcPr>
            <w:tcW w:type="dxa" w:w="549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Eigener Eintrag oder Beleg</w:t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Versammlung/Protokollführung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Antragsteller/Beschlussgegenstand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Wortlaut vor Abstimmung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Beschlossene Änderung/Wortlaut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Berechtigung/Mehrheitsregel/Fundstelle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Tatsächliches Abstimmungsergebnis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Festgestellter Beschluss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Beurkundung laut Satzung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  <w:pageBreakBefore/>
      </w:pPr>
      <w:r>
        <w:t>Aufgaben und Rückmeldung</w:t>
      </w:r>
    </w:p>
    <w:p>
      <w:r>
        <w:t>Fachliche Umsetzung zur Pflegeleitung erst nach geklärtem Beschluss. Flächenbetreuung und empfindliche Beobachtungsdaten berücksichtigen.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139"/>
        <w:gridCol w:w="5499"/>
      </w:tblGrid>
      <w:tr>
        <w:trPr>
          <w:cantSplit/>
          <w:tblHeader/>
        </w:trPr>
        <w:tc>
          <w:tcPr>
            <w:tcW w:type="dxa" w:w="413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Zu dokumentieren</w:t>
            </w:r>
          </w:p>
        </w:tc>
        <w:tc>
          <w:tcPr>
            <w:tcW w:type="dxa" w:w="549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Eigener Eintrag oder Beleg</w:t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Beschluss-ID/Aufgabe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Verantwortliche Person/Rolle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Fachliche Freigabe/Rückfrage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Budget/Finanzierungsgrenze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Frist/Nächster Prüftermin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Ergebnis/Beleg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Rückmeldung an Mitglieder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Offene Folgeaufgabe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t>Felder mit Beleg/Quelle/Datum ergänzen; offene Punkte mit verantwortlicher Person und Termin. Keine automatisch vorgegebenen Fristen, Mehrheiten oder Freigaben.</w:t>
      </w:r>
    </w:p>
    <w:p>
      <w:pPr>
        <w:pStyle w:val="Heading2"/>
      </w:pPr>
      <w:r>
        <w:t>Stand: Oktober 2026</w:t>
      </w:r>
    </w:p>
    <w:p>
      <w:pPr>
        <w:spacing w:after="40"/>
      </w:pPr>
      <w:hyperlink r:id="rId10">
        <w:r>
          <w:rPr>
            <w:sz w:val="16"/>
          </w:rPr>
          <w:t xml:space="preserve">§ 32 BGB – amtlicher Volltext</w:t>
        </w:r>
      </w:hyperlink>
    </w:p>
    <w:p>
      <w:pPr>
        <w:spacing w:after="40"/>
      </w:pPr>
      <w:hyperlink r:id="rId11">
        <w:r>
          <w:rPr>
            <w:sz w:val="16"/>
          </w:rPr>
          <w:t xml:space="preserve">§ 40 BGB – amtlicher Volltext</w:t>
        </w:r>
      </w:hyperlink>
    </w:p>
    <w:p>
      <w:pPr>
        <w:spacing w:after="40"/>
      </w:pPr>
      <w:hyperlink r:id="rId10">
        <w:r>
          <w:rPr>
            <w:sz w:val="16"/>
          </w:rPr>
          <w:t xml:space="preserve">Bürgerliches Gesetzbuch (BGB) § 32   Mitgliederversammlung; Beschlussfassung</w:t>
        </w:r>
      </w:hyperlink>
    </w:p>
    <w:p>
      <w:pPr>
        <w:spacing w:after="40"/>
      </w:pPr>
      <w:r>
        <w:rPr>
          <w:sz w:val="16"/>
        </w:rPr>
        <w:t>Stand: Oktober 2026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NAT-027 | Arbeitsmittel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gesetze-im-internet.de/bgb/__32.html" TargetMode="External"/><Relationship Id="rId11" Type="http://schemas.openxmlformats.org/officeDocument/2006/relationships/hyperlink" Target="https://www.gesetze-im-internet.de/bgb/__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