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Digitale Ablage im Naturschutzverein</w:t>
      </w:r>
    </w:p>
    <w:p>
      <w:pPr>
        <w:pStyle w:val="Subtitle"/>
      </w:pPr>
      <w:r>
        <w:t>Dateiplan und Arbeitsblätter</w:t>
      </w:r>
    </w:p>
    <w:p>
      <w:r>
        <w:t>Eine brauchbare Ablage im Naturschutzverein führt zu den gültigen Unterlagen und zu einer zuständigen Person. Beginnen Sie mit einem klar begrenzten Vorgang, einem vereinbarten Speicherort und tatsächlich geprüften Rechten. Der folgende Dateiplan und die Arbeitsblätter sind eigene, anpassbare Organisationsvorschläge. Sie legen weder gesetzliche Fristen noch verbindliche Fachanforderungen fest.</w:t>
      </w:r>
    </w:p>
    <w:p>
      <w:pPr>
        <w:spacing w:after="100"/>
        <w:keepNext/>
      </w:pPr>
      <w:r>
        <w:rPr>
          <w:b/>
          <w:color w:val="000000"/>
        </w:rPr>
        <w:t>So verwenden Sie die Vorlage</w:t>
      </w:r>
    </w:p>
    <w:p>
      <w:pPr>
        <w:spacing w:after="100"/>
      </w:pPr>
      <w:r>
        <w:rPr>
          <w:color w:val="000000"/>
        </w:rPr>
        <w:t>Speichern Sie zuerst eine eigene Kopie in Word oder einem kompatiblen Textprogramm. Füllen Sie nur die für Ihren Vorgang passenden Felder aus. Ungeklärte Angaben bleiben offen; notieren Sie die Rückfrage und die zuständige Person.</w:t>
      </w:r>
    </w:p>
    <w:p>
      <w:pPr>
        <w:spacing w:after="100"/>
      </w:pPr>
      <w:r>
        <w:rPr>
          <w:color w:val="000000"/>
        </w:rPr>
        <w:t>Ergänzen Sie bei Bedarf passende Zeilen oder Felder. Speichern Sie Änderungen in Ihrer eigenen Datei. Für die Weitergabe können Sie zusätzlich ein PDF erzeugen; die Word-Datei bleibt Ihre bearbeitbare Fassung.</w:t>
      </w:r>
    </w:p>
    <w:p>
      <w:pPr>
        <w:pStyle w:val="Heading1"/>
      </w:pPr>
      <w:r>
        <w:t>Zuständigkeit und Startvorgang</w:t>
      </w:r>
    </w:p>
    <w:p>
      <w:r>
        <w:t>Projektleitung prüft Methoden und maßgebliche Freigaben. Die für sensible Funddaten benannte Fachperson entscheidet über die aufgabengerechte Weitergabe.</w:t>
      </w:r>
    </w:p>
    <w:p>
      <w:r>
        <w:t>Verein und zuständige Person</w:t>
        <w:br/>
        <w:t>_______________________________________________________________</w:t>
      </w:r>
    </w:p>
    <w:p>
      <w:r>
        <w:t>Führender Speicherort und Vertretung</w:t>
        <w:br/>
        <w:t>_______________________________________________________________</w:t>
      </w:r>
    </w:p>
    <w:p>
      <w:r>
        <w:t>Gewählter Pilotvorgang und Zieltermin</w:t>
        <w:br/>
        <w:t>_______________________________________________________________</w:t>
      </w:r>
    </w:p>
    <w:p>
      <w:pPr>
        <w:pStyle w:val="Heading2"/>
      </w:pPr>
      <w:r>
        <w:t>So beginnen Sie</w:t>
      </w:r>
    </w:p>
    <w:p>
      <w:r>
        <w:t>Wählen Sie zunächst einen überschaubaren Vorgang. Notieren Sie vorhandene Speicherorte, Dokumentarten, zuständige Rolle, Zweck, nötige Zugriffe und bekannte Lücken. Lassen Sie Originale zunächst unverändert. Legen Sie fest, welche Stelle über die Ablage entscheidet.</w:t>
      </w:r>
    </w:p>
    <w:p>
      <w:r>
        <w:t>Rohdaten nicht ohne Erfassungsmethode und Herkunft verschieben. Prüfen, ob Karten oder Berichte sensible Fundorte auch versteckt in Metadaten oder Ebenen enthalten.</w:t>
      </w:r>
    </w:p>
    <w:p>
      <w:pPr>
        <w:pStyle w:val="Heading1"/>
        <w:pageBreakBefore/>
      </w:pPr>
      <w:r>
        <w:t>Fachliche Unterlagen zuordnen</w:t>
      </w:r>
    </w:p>
    <w:p>
      <w:pPr>
        <w:pStyle w:val="Heading2"/>
      </w:pPr>
      <w:r>
        <w:t>Flaechenakten</w:t>
      </w:r>
    </w:p>
    <w:p>
      <w:r>
        <w:t>Flächenkennung, Vereinbarung, Kartenstand, Maßnahme und zuständige Person zusammenführen. Private Eigentümerkontakte separat schützen.</w:t>
      </w:r>
    </w:p>
    <w:p>
      <w:pPr>
        <w:pStyle w:val="Heading2"/>
      </w:pPr>
      <w:r>
        <w:t>Genehmigungen</w:t>
      </w:r>
    </w:p>
    <w:p>
      <w:r>
        <w:t>Geltungsbereich, Laufzeit, Bedingungen und Fundort des Originals je Vorhaben erfassen. Ein Ordnername oder Projektbeschluss ersetzt keine erforderliche Erlaubnis.</w:t>
      </w:r>
    </w:p>
    <w:p>
      <w:pPr>
        <w:pStyle w:val="Heading2"/>
      </w:pPr>
      <w:r>
        <w:t>Monitoring</w:t>
      </w:r>
    </w:p>
    <w:p>
      <w:r>
        <w:t>Methode, Erfassungszeitpunkt, Einheit, Prüfschritt und Datenherkunft mitführen. Rohdaten und fachlich freigegebene Auswertungen unterscheiden.</w:t>
      </w:r>
    </w:p>
    <w:p>
      <w:pPr>
        <w:pStyle w:val="Heading2"/>
      </w:pPr>
      <w:r>
        <w:t>Projektberichte</w:t>
      </w:r>
    </w:p>
    <w:p>
      <w:r>
        <w:t>Für Mitwirkende geeignete Arbeitsstände und allgemein teilbare Berichte bereitstellen. Genaue sensible Artfundorte in einem tatsächlich beschränkten Fachbereich halten.</w:t>
      </w:r>
    </w:p>
    <w:p>
      <w:pPr>
        <w:pStyle w:val="Heading2"/>
      </w:pPr>
      <w:r>
        <w:t>Vorgänge wiederfinden</w:t>
      </w:r>
    </w:p>
    <w:p>
      <w:r>
        <w:t>Ein Mitglied hilft bei einer Pflegeaktion. Es findet Treffpunkt, freigegebenen Maßnahmenhinweis und Kontakt. Sensible Brutplätze und Eigentümerkontakte erscheinen nicht in der allgemeinen Helferinformation.</w:t>
      </w:r>
    </w:p>
    <w:p>
      <w:r>
        <w:t>Beispiel zur Veranschaulichung: Für eine Pflegeaktion wird eine Karte vorbereitet. Die Projektleitung erstellt eine geeignete Helferfassung, hält den Bezug zur internen Fachkarte fest und kontrolliert, dass sensible Fundortangaben nicht mit exportiert wurden.</w:t>
      </w:r>
    </w:p>
    <w:p>
      <w:pPr>
        <w:pStyle w:val="Heading1"/>
        <w:pageBreakBefore/>
      </w:pPr>
      <w:r>
        <w:t>Dateiplan und Rechte festlegen</w:t>
      </w:r>
    </w:p>
    <w:p>
      <w:r>
        <w:t>Die Struktur ist ein eigener Vorschlag. Nicht benötigte Bereiche entfallen; Systemrechte müssen gesondert eingerichtet und getestet werden. Ein Archivordner ersetzt kein Backup.</w:t>
      </w:r>
    </w:p>
    <w:tbl>
      <w:tblPr>
        <w:tblStyle w:val="TableGrid"/>
        <w:tblW w:type="auto" w:w="0"/>
        <w:jc w:val="center"/>
        <w:tblLayout w:type="fixed"/>
        <w:tblLook w:firstColumn="1" w:firstRow="1" w:lastColumn="0" w:lastRow="0" w:noHBand="0" w:noVBand="1" w:val="04A0"/>
      </w:tblPr>
      <w:tblGrid>
        <w:gridCol w:w="3402"/>
        <w:gridCol w:w="6236"/>
      </w:tblGrid>
      <w:tr>
        <w:trPr>
          <w:tblHeader/>
          <w:cantSplit/>
        </w:trPr>
        <w:tc>
          <w:tcPr>
            <w:tcW w:type="dxa" w:w="3402"/>
            <w:shd w:fill="E7E6E6"/>
          </w:tcPr>
          <w:p>
            <w:pPr>
              <w:spacing w:after="60" w:before="60"/>
            </w:pPr>
            <w:r>
              <w:rPr>
                <w:b/>
                <w:sz w:val="18"/>
              </w:rPr>
              <w:t>Bereich</w:t>
            </w:r>
          </w:p>
        </w:tc>
        <w:tc>
          <w:tcPr>
            <w:tcW w:type="dxa" w:w="6236"/>
            <w:shd w:fill="E7E6E6"/>
          </w:tcPr>
          <w:p>
            <w:pPr>
              <w:spacing w:after="60" w:before="60"/>
            </w:pPr>
            <w:r>
              <w:rPr>
                <w:b/>
                <w:sz w:val="18"/>
              </w:rPr>
              <w:t>Zweck</w:t>
            </w:r>
          </w:p>
        </w:tc>
      </w:tr>
      <w:tr>
        <w:trPr>
          <w:cantSplit/>
        </w:trPr>
        <w:tc>
          <w:tcPr>
            <w:tcW w:type="dxa" w:w="3402"/>
          </w:tcPr>
          <w:p>
            <w:pPr>
              <w:spacing w:after="60" w:before="60"/>
            </w:pPr>
            <w:r>
              <w:rPr>
                <w:sz w:val="18"/>
              </w:rPr>
              <w:t>00_Orientierung</w:t>
            </w:r>
          </w:p>
        </w:tc>
        <w:tc>
          <w:tcPr>
            <w:tcW w:type="dxa" w:w="6236"/>
          </w:tcPr>
          <w:p>
            <w:pPr>
              <w:spacing w:after="60" w:before="60"/>
            </w:pPr>
            <w:r>
              <w:rPr>
                <w:sz w:val="18"/>
              </w:rPr>
              <w:t>Dateiplan, Zuständigkeiten und Verweise ohne Geheimnisse</w:t>
            </w:r>
          </w:p>
        </w:tc>
      </w:tr>
      <w:tr>
        <w:trPr>
          <w:cantSplit/>
        </w:trPr>
        <w:tc>
          <w:tcPr>
            <w:tcW w:type="dxa" w:w="3402"/>
          </w:tcPr>
          <w:p>
            <w:pPr>
              <w:spacing w:after="60" w:before="60"/>
            </w:pPr>
            <w:r>
              <w:rPr>
                <w:sz w:val="18"/>
              </w:rPr>
              <w:t>01_Vereinsfuehrung</w:t>
            </w:r>
          </w:p>
        </w:tc>
        <w:tc>
          <w:tcPr>
            <w:tcW w:type="dxa" w:w="6236"/>
          </w:tcPr>
          <w:p>
            <w:pPr>
              <w:spacing w:after="60" w:before="60"/>
            </w:pPr>
            <w:r>
              <w:rPr>
                <w:sz w:val="18"/>
              </w:rPr>
              <w:t>Satzung, Beschlüsse und organisatorische Vorgänge nach Berechtigung</w:t>
            </w:r>
          </w:p>
        </w:tc>
      </w:tr>
      <w:tr>
        <w:trPr>
          <w:cantSplit/>
        </w:trPr>
        <w:tc>
          <w:tcPr>
            <w:tcW w:type="dxa" w:w="3402"/>
          </w:tcPr>
          <w:p>
            <w:pPr>
              <w:spacing w:after="60" w:before="60"/>
            </w:pPr>
            <w:r>
              <w:rPr>
                <w:sz w:val="18"/>
              </w:rPr>
              <w:t>02_Finanzen</w:t>
            </w:r>
          </w:p>
        </w:tc>
        <w:tc>
          <w:tcPr>
            <w:tcW w:type="dxa" w:w="6236"/>
          </w:tcPr>
          <w:p>
            <w:pPr>
              <w:spacing w:after="60" w:before="60"/>
            </w:pPr>
            <w:r>
              <w:rPr>
                <w:sz w:val="18"/>
              </w:rPr>
              <w:t>Nur für zuständige Rollen, keine offene Mitgliederfreigabe</w:t>
            </w:r>
          </w:p>
        </w:tc>
      </w:tr>
      <w:tr>
        <w:trPr>
          <w:cantSplit/>
        </w:trPr>
        <w:tc>
          <w:tcPr>
            <w:tcW w:type="dxa" w:w="3402"/>
          </w:tcPr>
          <w:p>
            <w:pPr>
              <w:spacing w:after="60" w:before="60"/>
            </w:pPr>
            <w:r>
              <w:rPr>
                <w:sz w:val="18"/>
              </w:rPr>
              <w:t>03_Facharbeit</w:t>
            </w:r>
          </w:p>
        </w:tc>
        <w:tc>
          <w:tcPr>
            <w:tcW w:type="dxa" w:w="6236"/>
          </w:tcPr>
          <w:p>
            <w:pPr>
              <w:spacing w:after="60" w:before="60"/>
            </w:pPr>
            <w:r>
              <w:rPr>
                <w:sz w:val="18"/>
              </w:rPr>
              <w:t>Fachvorgänge nach der folgenden Branchengliederung</w:t>
            </w:r>
          </w:p>
        </w:tc>
      </w:tr>
      <w:tr>
        <w:trPr>
          <w:cantSplit/>
        </w:trPr>
        <w:tc>
          <w:tcPr>
            <w:tcW w:type="dxa" w:w="3402"/>
          </w:tcPr>
          <w:p>
            <w:pPr>
              <w:spacing w:after="60" w:before="60"/>
            </w:pPr>
            <w:r>
              <w:rPr>
                <w:sz w:val="18"/>
              </w:rPr>
              <w:t>04_Mitgliederinformation</w:t>
            </w:r>
          </w:p>
        </w:tc>
        <w:tc>
          <w:tcPr>
            <w:tcW w:type="dxa" w:w="6236"/>
          </w:tcPr>
          <w:p>
            <w:pPr>
              <w:spacing w:after="60" w:before="60"/>
            </w:pPr>
            <w:r>
              <w:rPr>
                <w:sz w:val="18"/>
              </w:rPr>
              <w:t>Nur zur internen Weitergabe geprüfte Informationen</w:t>
            </w:r>
          </w:p>
        </w:tc>
      </w:tr>
      <w:tr>
        <w:trPr>
          <w:cantSplit/>
        </w:trPr>
        <w:tc>
          <w:tcPr>
            <w:tcW w:type="dxa" w:w="3402"/>
          </w:tcPr>
          <w:p>
            <w:pPr>
              <w:spacing w:after="60" w:before="60"/>
            </w:pPr>
            <w:r>
              <w:rPr>
                <w:sz w:val="18"/>
              </w:rPr>
              <w:t>90_Abgeschlossene_Vorgaenge</w:t>
            </w:r>
          </w:p>
        </w:tc>
        <w:tc>
          <w:tcPr>
            <w:tcW w:type="dxa" w:w="6236"/>
          </w:tcPr>
          <w:p>
            <w:pPr>
              <w:spacing w:after="60" w:before="60"/>
            </w:pPr>
            <w:r>
              <w:rPr>
                <w:sz w:val="18"/>
              </w:rPr>
              <w:t>Abgeschlossene Vorgänge mit geprüftem Aufbewahrungszweck</w:t>
            </w:r>
          </w:p>
        </w:tc>
      </w:tr>
    </w:tbl>
    <w:p>
      <w:r>
        <w:t>Namensbeispiel (konstruiert):</w:t>
        <w:br/>
        <w:t>2027-01-15_Flaeche-F01_Massnahmenhinweis_v01_ENTWURF.ext</w:t>
      </w:r>
    </w:p>
    <w:p>
      <w:r>
        <w:t>Ersetzen Sie .ext durch die echte Dateiendung. Benennen Sie Originale erst nach Klärung von Herkunft und fachlichem Zusammenhang um. Der Index nennt gültigen Stand und Freigabe.</w:t>
      </w:r>
    </w:p>
    <w:tbl>
      <w:tblPr>
        <w:tblStyle w:val="TableGrid"/>
        <w:tblW w:type="auto" w:w="0"/>
        <w:jc w:val="center"/>
        <w:tblLayout w:type="fixed"/>
        <w:tblLook w:firstColumn="1" w:firstRow="1" w:lastColumn="0" w:lastRow="0" w:noHBand="0" w:noVBand="1" w:val="04A0"/>
      </w:tblPr>
      <w:tblGrid>
        <w:gridCol w:w="3402"/>
        <w:gridCol w:w="3118"/>
        <w:gridCol w:w="3118"/>
      </w:tblGrid>
      <w:tr>
        <w:trPr>
          <w:tblHeader/>
          <w:cantSplit/>
        </w:trPr>
        <w:tc>
          <w:tcPr>
            <w:tcW w:type="dxa" w:w="3402"/>
            <w:shd w:fill="E7E6E6"/>
          </w:tcPr>
          <w:p>
            <w:pPr>
              <w:spacing w:after="60" w:before="60"/>
            </w:pPr>
            <w:r>
              <w:rPr>
                <w:b/>
                <w:sz w:val="18"/>
              </w:rPr>
              <w:t>Bereich und führender Fundort</w:t>
            </w:r>
          </w:p>
        </w:tc>
        <w:tc>
          <w:tcPr>
            <w:tcW w:type="dxa" w:w="3118"/>
            <w:shd w:fill="E7E6E6"/>
          </w:tcPr>
          <w:p>
            <w:pPr>
              <w:spacing w:after="60" w:before="60"/>
            </w:pPr>
            <w:r>
              <w:rPr>
                <w:b/>
                <w:sz w:val="18"/>
              </w:rPr>
              <w:t>Lesen und Ändern</w:t>
            </w:r>
          </w:p>
        </w:tc>
        <w:tc>
          <w:tcPr>
            <w:tcW w:type="dxa" w:w="3118"/>
            <w:shd w:fill="E7E6E6"/>
          </w:tcPr>
          <w:p>
            <w:pPr>
              <w:spacing w:after="60" w:before="60"/>
            </w:pPr>
            <w:r>
              <w:rPr>
                <w:b/>
                <w:sz w:val="18"/>
              </w:rPr>
              <w:t>Verantwortung und Vertretung</w:t>
            </w:r>
          </w:p>
        </w:tc>
      </w:tr>
      <w:tr>
        <w:trPr>
          <w:cantSplit/>
        </w:trPr>
        <w:tc>
          <w:tcPr>
            <w:tcW w:type="dxa" w:w="3402"/>
          </w:tcPr>
          <w:p>
            <w:pPr>
              <w:spacing w:after="60" w:before="60"/>
            </w:pPr>
            <w:r>
              <w:rPr>
                <w:sz w:val="18"/>
              </w:rPr>
              <w:t>Flaechenakten</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Genehmigungen</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Monitoring</w:t>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t>Projektberichte</w:t>
            </w:r>
          </w:p>
        </w:tc>
        <w:tc>
          <w:tcPr>
            <w:tcW w:type="dxa" w:w="3118"/>
          </w:tcPr>
          <w:p>
            <w:pPr>
              <w:spacing w:after="60" w:before="60"/>
            </w:pPr>
            <w:r>
              <w:rPr>
                <w:sz w:val="18"/>
              </w:rPr>
              <w:br/>
            </w:r>
          </w:p>
        </w:tc>
        <w:tc>
          <w:tcPr>
            <w:tcW w:type="dxa" w:w="3118"/>
          </w:tcPr>
          <w:p>
            <w:pPr>
              <w:spacing w:after="60" w:before="60"/>
            </w:pPr>
            <w:r>
              <w:rPr>
                <w:sz w:val="18"/>
              </w:rPr>
              <w:br/>
            </w:r>
          </w:p>
        </w:tc>
      </w:tr>
    </w:tbl>
    <w:p>
      <w:r>
        <w:t>Keine Passwörter, Notfallcodes, Bankzugänge oder vertraulichen Falldetails in diesen allgemeinen Plan eintragen. Mitgliedsrechte und berechtigte Auskunftsanfragen werden gesondert geprüft.</w:t>
      </w:r>
    </w:p>
    <w:p>
      <w:pPr>
        <w:pStyle w:val="Heading1"/>
        <w:pageBreakBefore/>
      </w:pPr>
      <w:r>
        <w:t>Sicherung und Kontrolltermine</w:t>
      </w:r>
    </w:p>
    <w:p>
      <w:r>
        <w:t>Synchronisation allein ist keine Datensicherung. Vereinbaren Sie Sicherungsverfahren, geschützten unabhängigen Sicherungsort, Zuständigkeit und einen zur Änderungshäufigkeit passenden Rhythmus. Stellen Sie eine harmlose Testdatei in einen getrennten Testordner wieder her und vergleichen Sie Inhalt und Stand. Überschreiben Sie beim Test keine Originale.</w:t>
      </w:r>
    </w:p>
    <w:tbl>
      <w:tblPr>
        <w:tblStyle w:val="TableGrid"/>
        <w:tblW w:type="auto" w:w="0"/>
        <w:jc w:val="center"/>
        <w:tblLayout w:type="fixed"/>
        <w:tblLook w:firstColumn="1" w:firstRow="1" w:lastColumn="0" w:lastRow="0" w:noHBand="0" w:noVBand="1" w:val="04A0"/>
      </w:tblPr>
      <w:tblGrid>
        <w:gridCol w:w="4535"/>
        <w:gridCol w:w="5102"/>
      </w:tblGrid>
      <w:tr>
        <w:trPr>
          <w:tblHeader/>
          <w:cantSplit/>
        </w:trPr>
        <w:tc>
          <w:tcPr>
            <w:tcW w:type="dxa" w:w="4535"/>
            <w:shd w:fill="E7E6E6"/>
          </w:tcPr>
          <w:p>
            <w:pPr>
              <w:spacing w:after="60" w:before="60"/>
            </w:pPr>
            <w:r>
              <w:rPr>
                <w:b/>
                <w:sz w:val="18"/>
              </w:rPr>
              <w:t>Prüfpunkt</w:t>
            </w:r>
          </w:p>
        </w:tc>
        <w:tc>
          <w:tcPr>
            <w:tcW w:type="dxa" w:w="5102"/>
            <w:shd w:fill="E7E6E6"/>
          </w:tcPr>
          <w:p>
            <w:pPr>
              <w:spacing w:after="60" w:before="60"/>
            </w:pPr>
            <w:r>
              <w:rPr>
                <w:b/>
                <w:sz w:val="18"/>
              </w:rPr>
              <w:t>Eintrag</w:t>
            </w:r>
          </w:p>
        </w:tc>
      </w:tr>
      <w:tr>
        <w:trPr>
          <w:cantSplit/>
        </w:trPr>
        <w:tc>
          <w:tcPr>
            <w:tcW w:type="dxa" w:w="4535"/>
          </w:tcPr>
          <w:p>
            <w:pPr>
              <w:spacing w:after="60" w:before="60"/>
            </w:pPr>
            <w:r>
              <w:rPr>
                <w:sz w:val="18"/>
              </w:rPr>
              <w:t>Sicherungsverfahren und geschützter Sicherungsort</w:t>
            </w:r>
          </w:p>
        </w:tc>
        <w:tc>
          <w:tcPr>
            <w:tcW w:type="dxa" w:w="5102"/>
          </w:tcPr>
          <w:p>
            <w:pPr>
              <w:spacing w:after="60" w:before="60"/>
            </w:pPr>
            <w:r>
              <w:rPr>
                <w:sz w:val="18"/>
              </w:rPr>
              <w:br/>
            </w:r>
          </w:p>
        </w:tc>
      </w:tr>
      <w:tr>
        <w:trPr>
          <w:cantSplit/>
        </w:trPr>
        <w:tc>
          <w:tcPr>
            <w:tcW w:type="dxa" w:w="4535"/>
          </w:tcPr>
          <w:p>
            <w:pPr>
              <w:spacing w:after="60" w:before="60"/>
            </w:pPr>
            <w:r>
              <w:rPr>
                <w:sz w:val="18"/>
              </w:rPr>
              <w:t>Zuständige Rolle und Sicherungsrhythmus</w:t>
            </w:r>
          </w:p>
        </w:tc>
        <w:tc>
          <w:tcPr>
            <w:tcW w:type="dxa" w:w="5102"/>
          </w:tcPr>
          <w:p>
            <w:pPr>
              <w:spacing w:after="60" w:before="60"/>
            </w:pPr>
            <w:r>
              <w:rPr>
                <w:sz w:val="18"/>
              </w:rPr>
              <w:br/>
            </w:r>
          </w:p>
        </w:tc>
      </w:tr>
      <w:tr>
        <w:trPr>
          <w:cantSplit/>
        </w:trPr>
        <w:tc>
          <w:tcPr>
            <w:tcW w:type="dxa" w:w="4535"/>
          </w:tcPr>
          <w:p>
            <w:pPr>
              <w:spacing w:after="60" w:before="60"/>
            </w:pPr>
            <w:r>
              <w:rPr>
                <w:sz w:val="18"/>
              </w:rPr>
              <w:t>Testdatei und getrenntes Wiederherstellungsziel</w:t>
            </w:r>
          </w:p>
        </w:tc>
        <w:tc>
          <w:tcPr>
            <w:tcW w:type="dxa" w:w="5102"/>
          </w:tcPr>
          <w:p>
            <w:pPr>
              <w:spacing w:after="60" w:before="60"/>
            </w:pPr>
            <w:r>
              <w:rPr>
                <w:sz w:val="18"/>
              </w:rPr>
              <w:br/>
            </w:r>
          </w:p>
        </w:tc>
      </w:tr>
      <w:tr>
        <w:trPr>
          <w:cantSplit/>
        </w:trPr>
        <w:tc>
          <w:tcPr>
            <w:tcW w:type="dxa" w:w="4535"/>
          </w:tcPr>
          <w:p>
            <w:pPr>
              <w:spacing w:after="60" w:before="60"/>
            </w:pPr>
            <w:r>
              <w:rPr>
                <w:sz w:val="18"/>
              </w:rPr>
              <w:t>Testergebnis und nächster Prüftermin</w:t>
            </w:r>
          </w:p>
        </w:tc>
        <w:tc>
          <w:tcPr>
            <w:tcW w:type="dxa" w:w="5102"/>
          </w:tcPr>
          <w:p>
            <w:pPr>
              <w:spacing w:after="60" w:before="60"/>
            </w:pPr>
            <w:r>
              <w:rPr>
                <w:sz w:val="18"/>
              </w:rPr>
              <w:br/>
            </w:r>
          </w:p>
        </w:tc>
      </w:tr>
    </w:tbl>
    <w:p>
      <w:pPr>
        <w:pStyle w:val="Heading2"/>
      </w:pPr>
      <w:r>
        <w:t>Aufbewahrung und offene Fragen</w:t>
      </w:r>
    </w:p>
    <w:p>
      <w:r>
        <w:t>Für jede Dokumentart Zweck, maßgebliche Grundlage, möglichen Fristbeginn und verantwortliche Rolle prüfen. Ohne geklärte Grundlage keine pauschale Löschung. Dieser Plan bestimmt keine gesetzliche Aufbewahrungsdauer.</w:t>
      </w:r>
    </w:p>
    <w:tbl>
      <w:tblPr>
        <w:tblStyle w:val="TableGrid"/>
        <w:tblW w:type="auto" w:w="0"/>
        <w:jc w:val="center"/>
        <w:tblLayout w:type="fixed"/>
        <w:tblLook w:firstColumn="1" w:firstRow="1" w:lastColumn="0" w:lastRow="0" w:noHBand="0" w:noVBand="1" w:val="04A0"/>
      </w:tblPr>
      <w:tblGrid>
        <w:gridCol w:w="3402"/>
        <w:gridCol w:w="3118"/>
        <w:gridCol w:w="3118"/>
      </w:tblGrid>
      <w:tr>
        <w:trPr>
          <w:tblHeader/>
          <w:cantSplit/>
        </w:trPr>
        <w:tc>
          <w:tcPr>
            <w:tcW w:type="dxa" w:w="3402"/>
            <w:shd w:fill="E7E6E6"/>
          </w:tcPr>
          <w:p>
            <w:pPr>
              <w:spacing w:after="60" w:before="60"/>
            </w:pPr>
            <w:r>
              <w:rPr>
                <w:b/>
                <w:sz w:val="18"/>
              </w:rPr>
              <w:t>Dokumentart und Zweck</w:t>
            </w:r>
          </w:p>
        </w:tc>
        <w:tc>
          <w:tcPr>
            <w:tcW w:type="dxa" w:w="3118"/>
            <w:shd w:fill="E7E6E6"/>
          </w:tcPr>
          <w:p>
            <w:pPr>
              <w:spacing w:after="60" w:before="60"/>
            </w:pPr>
            <w:r>
              <w:rPr>
                <w:b/>
                <w:sz w:val="18"/>
              </w:rPr>
              <w:t>Grundlage und Prüftermin</w:t>
            </w:r>
          </w:p>
        </w:tc>
        <w:tc>
          <w:tcPr>
            <w:tcW w:type="dxa" w:w="3118"/>
            <w:shd w:fill="E7E6E6"/>
          </w:tcPr>
          <w:p>
            <w:pPr>
              <w:spacing w:after="60" w:before="60"/>
            </w:pPr>
            <w:r>
              <w:rPr>
                <w:b/>
                <w:sz w:val="18"/>
              </w:rPr>
              <w:t>Verantwortung und Klärung</w:t>
            </w:r>
          </w:p>
        </w:tc>
      </w:tr>
      <w:tr>
        <w:trPr>
          <w:cantSplit/>
        </w:trPr>
        <w:tc>
          <w:tcPr>
            <w:tcW w:type="dxa" w:w="3402"/>
          </w:tcPr>
          <w:p>
            <w:pPr>
              <w:spacing w:after="60" w:before="60"/>
            </w:pPr>
            <w:r>
              <w:rPr>
                <w:sz w:val="18"/>
              </w:rPr>
              <w:br/>
            </w:r>
          </w:p>
        </w:tc>
        <w:tc>
          <w:tcPr>
            <w:tcW w:type="dxa" w:w="3118"/>
          </w:tcPr>
          <w:p>
            <w:pPr>
              <w:spacing w:after="60" w:before="60"/>
            </w:pPr>
            <w:r>
              <w:rPr>
                <w:sz w:val="18"/>
              </w:rPr>
              <w:br/>
            </w:r>
          </w:p>
        </w:tc>
        <w:tc>
          <w:tcPr>
            <w:tcW w:type="dxa" w:w="3118"/>
          </w:tcPr>
          <w:p>
            <w:pPr>
              <w:spacing w:after="60" w:before="60"/>
            </w:pPr>
            <w:r>
              <w:rPr>
                <w:sz w:val="18"/>
              </w:rPr>
              <w:br/>
            </w:r>
          </w:p>
        </w:tc>
      </w:tr>
      <w:tr>
        <w:trPr>
          <w:cantSplit/>
        </w:trPr>
        <w:tc>
          <w:tcPr>
            <w:tcW w:type="dxa" w:w="3402"/>
          </w:tcPr>
          <w:p>
            <w:pPr>
              <w:spacing w:after="60" w:before="60"/>
            </w:pPr>
            <w:r>
              <w:rPr>
                <w:sz w:val="18"/>
              </w:rPr>
              <w:br/>
            </w:r>
          </w:p>
        </w:tc>
        <w:tc>
          <w:tcPr>
            <w:tcW w:type="dxa" w:w="3118"/>
          </w:tcPr>
          <w:p>
            <w:pPr>
              <w:spacing w:after="60" w:before="60"/>
            </w:pPr>
            <w:r>
              <w:rPr>
                <w:sz w:val="18"/>
              </w:rPr>
              <w:br/>
            </w:r>
          </w:p>
        </w:tc>
        <w:tc>
          <w:tcPr>
            <w:tcW w:type="dxa" w:w="3118"/>
          </w:tcPr>
          <w:p>
            <w:pPr>
              <w:spacing w:after="60" w:before="60"/>
            </w:pPr>
            <w:r>
              <w:rPr>
                <w:sz w:val="18"/>
              </w:rPr>
              <w:br/>
            </w:r>
          </w:p>
        </w:tc>
      </w:tr>
    </w:tbl>
    <w:p>
      <w:r>
        <w:t>Abnahme des Pilotvorgangs und Datum</w:t>
        <w:br/>
        <w:t>_______________________________________________________________</w:t>
      </w:r>
    </w:p>
    <w:p>
      <w:r>
        <w:t>Stand: Oktober 2026</w:t>
      </w:r>
    </w:p>
    <w:p>
      <w:hyperlink r:id="rId9">
        <w:r>
          <w:t>Technische Grundlage zur Datensicherung</w:t>
        </w:r>
      </w:hyperlink>
    </w:p>
    <w:p>
      <w:hyperlink r:id="rId10">
        <w:r>
          <w:t>Datenschutz bei Mitgliederlisten und Einsichtsfragen</w:t>
        </w:r>
      </w:hyperlink>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km.bayern.de/gestalten/digitalisierung/datensicherheit/datensicherung" TargetMode="External"/><Relationship Id="rId10" Type="http://schemas.openxmlformats.org/officeDocument/2006/relationships/hyperlink" Target="https://www.datenschutz-berlin.de/pressemitteilung/herausgabe-von-mitgliederlisten-was-vereine-und-parteien-beachten-mue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Digitale Ablage im Naturschutzverein</dc:title>
  <dc:subject>NAT-032 P03-02 Fassung 1.0</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